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C93" w:rsidRPr="00465C93" w:rsidRDefault="00465C93" w:rsidP="00465C93">
      <w:pPr>
        <w:shd w:val="clear" w:color="auto" w:fill="FFFFFF"/>
        <w:spacing w:before="270" w:after="150" w:line="360" w:lineRule="atLeast"/>
        <w:jc w:val="both"/>
        <w:rPr>
          <w:rFonts w:ascii="Arial" w:eastAsia="Times New Roman" w:hAnsi="Arial" w:cs="Arial"/>
          <w:color w:val="333333"/>
          <w:spacing w:val="15"/>
          <w:sz w:val="29"/>
          <w:szCs w:val="29"/>
          <w:lang w:eastAsia="pt-BR"/>
        </w:rPr>
      </w:pPr>
      <w:bookmarkStart w:id="0" w:name="_GoBack"/>
      <w:bookmarkEnd w:id="0"/>
      <w:r w:rsidRPr="00465C93">
        <w:rPr>
          <w:rFonts w:ascii="Verdana" w:eastAsia="Times New Roman" w:hAnsi="Verdana" w:cs="Arial"/>
          <w:b/>
          <w:bCs/>
          <w:color w:val="333333"/>
          <w:spacing w:val="15"/>
          <w:sz w:val="21"/>
          <w:szCs w:val="21"/>
          <w:lang w:eastAsia="pt-BR"/>
        </w:rPr>
        <w:br/>
        <w:t>Nota Explicativa CONGEMAS 001/2022</w:t>
      </w:r>
    </w:p>
    <w:p w:rsidR="00465C93" w:rsidRPr="00465C93" w:rsidRDefault="00465C93" w:rsidP="00465C93">
      <w:pPr>
        <w:shd w:val="clear" w:color="auto" w:fill="FFFFFF"/>
        <w:spacing w:before="270" w:after="150" w:line="360" w:lineRule="atLeast"/>
        <w:jc w:val="both"/>
        <w:rPr>
          <w:rFonts w:ascii="Arial" w:eastAsia="Times New Roman" w:hAnsi="Arial" w:cs="Arial"/>
          <w:color w:val="333333"/>
          <w:spacing w:val="15"/>
          <w:sz w:val="29"/>
          <w:szCs w:val="29"/>
          <w:lang w:eastAsia="pt-BR"/>
        </w:rPr>
      </w:pPr>
      <w:r w:rsidRPr="00465C93">
        <w:rPr>
          <w:rFonts w:ascii="Arial" w:eastAsia="Times New Roman" w:hAnsi="Arial" w:cs="Arial"/>
          <w:color w:val="333333"/>
          <w:spacing w:val="15"/>
          <w:sz w:val="29"/>
          <w:szCs w:val="29"/>
          <w:lang w:eastAsia="pt-BR"/>
        </w:rPr>
        <w:t> </w:t>
      </w:r>
    </w:p>
    <w:p w:rsidR="00465C93" w:rsidRPr="00465C93" w:rsidRDefault="00465C93" w:rsidP="00465C93">
      <w:pPr>
        <w:shd w:val="clear" w:color="auto" w:fill="FFFFFF"/>
        <w:spacing w:before="270" w:after="150" w:line="360" w:lineRule="atLeast"/>
        <w:ind w:left="4956"/>
        <w:jc w:val="both"/>
        <w:rPr>
          <w:rFonts w:ascii="Arial" w:eastAsia="Times New Roman" w:hAnsi="Arial" w:cs="Arial"/>
          <w:color w:val="333333"/>
          <w:spacing w:val="15"/>
          <w:sz w:val="29"/>
          <w:szCs w:val="29"/>
          <w:lang w:eastAsia="pt-BR"/>
        </w:rPr>
      </w:pPr>
      <w:r w:rsidRPr="00465C93">
        <w:rPr>
          <w:rFonts w:ascii="Verdana" w:eastAsia="Times New Roman" w:hAnsi="Verdana" w:cs="Arial"/>
          <w:b/>
          <w:bCs/>
          <w:i/>
          <w:iCs/>
          <w:color w:val="333333"/>
          <w:spacing w:val="15"/>
          <w:sz w:val="21"/>
          <w:szCs w:val="21"/>
          <w:lang w:eastAsia="pt-BR"/>
        </w:rPr>
        <w:t>Utilização dos recursos federais para pagamentos das despesas para participação do 22º Encontro Nacional do CONGEMAS.</w:t>
      </w:r>
    </w:p>
    <w:p w:rsidR="00465C93" w:rsidRPr="00465C93" w:rsidRDefault="00465C93" w:rsidP="00465C93">
      <w:pPr>
        <w:shd w:val="clear" w:color="auto" w:fill="FFFFFF"/>
        <w:spacing w:before="270" w:after="150" w:line="360" w:lineRule="atLeast"/>
        <w:ind w:left="4956"/>
        <w:jc w:val="both"/>
        <w:rPr>
          <w:rFonts w:ascii="Arial" w:eastAsia="Times New Roman" w:hAnsi="Arial" w:cs="Arial"/>
          <w:color w:val="333333"/>
          <w:spacing w:val="15"/>
          <w:sz w:val="29"/>
          <w:szCs w:val="29"/>
          <w:lang w:eastAsia="pt-BR"/>
        </w:rPr>
      </w:pPr>
      <w:r w:rsidRPr="00465C93">
        <w:rPr>
          <w:rFonts w:ascii="Arial" w:eastAsia="Times New Roman" w:hAnsi="Arial" w:cs="Arial"/>
          <w:color w:val="333333"/>
          <w:spacing w:val="15"/>
          <w:sz w:val="29"/>
          <w:szCs w:val="29"/>
          <w:lang w:eastAsia="pt-BR"/>
        </w:rPr>
        <w:t> </w:t>
      </w:r>
    </w:p>
    <w:p w:rsidR="00465C93" w:rsidRPr="00465C93" w:rsidRDefault="00465C93" w:rsidP="00465C93">
      <w:pPr>
        <w:shd w:val="clear" w:color="auto" w:fill="FFFFFF"/>
        <w:spacing w:before="270" w:after="150" w:line="360" w:lineRule="atLeast"/>
        <w:ind w:left="-142"/>
        <w:jc w:val="both"/>
        <w:rPr>
          <w:rFonts w:ascii="Arial" w:eastAsia="Times New Roman" w:hAnsi="Arial" w:cs="Arial"/>
          <w:color w:val="333333"/>
          <w:spacing w:val="15"/>
          <w:sz w:val="29"/>
          <w:szCs w:val="29"/>
          <w:lang w:eastAsia="pt-BR"/>
        </w:rPr>
      </w:pPr>
      <w:r w:rsidRPr="00465C93">
        <w:rPr>
          <w:rFonts w:ascii="Verdana" w:eastAsia="Times New Roman" w:hAnsi="Verdana" w:cs="Arial"/>
          <w:color w:val="333333"/>
          <w:spacing w:val="15"/>
          <w:sz w:val="21"/>
          <w:szCs w:val="21"/>
          <w:lang w:eastAsia="pt-BR"/>
        </w:rPr>
        <w:t>O Colegiado Nacional dos Gestores Municipais de Assistência Social - CONGEMAS, Associação Civil sem fins lucrativos, com sede e foro em Brasília – DF desde abril de 2001, regendo-se por estatuto e normas próprias, tem por finalidade defender a Assistência  Social como Política de Seguridade, assegurando a perspectiva Municipalista da Assistência  Social, cuja premissa é representar os 5.570 (cinco mil, quinhentos e setenta) municípios brasileiros junto ao Governo Federal, principalmente junto à Secretaria Nacional de Assistência Social, bem como junto aos Governos Estaduais, garantindo-lhes assessoramento permanente, realizando coleta, produção e divulgação de informações relativas à área da Assistência Social.</w:t>
      </w:r>
    </w:p>
    <w:p w:rsidR="00465C93" w:rsidRPr="00465C93" w:rsidRDefault="00465C93" w:rsidP="00465C93">
      <w:pPr>
        <w:shd w:val="clear" w:color="auto" w:fill="FFFFFF"/>
        <w:spacing w:before="270" w:after="150" w:line="360" w:lineRule="atLeast"/>
        <w:ind w:left="-142"/>
        <w:jc w:val="both"/>
        <w:rPr>
          <w:rFonts w:ascii="Arial" w:eastAsia="Times New Roman" w:hAnsi="Arial" w:cs="Arial"/>
          <w:color w:val="333333"/>
          <w:spacing w:val="15"/>
          <w:sz w:val="29"/>
          <w:szCs w:val="29"/>
          <w:lang w:eastAsia="pt-BR"/>
        </w:rPr>
      </w:pPr>
      <w:r w:rsidRPr="00465C93">
        <w:rPr>
          <w:rFonts w:ascii="Verdana" w:eastAsia="Times New Roman" w:hAnsi="Verdana" w:cs="Arial"/>
          <w:color w:val="333333"/>
          <w:spacing w:val="15"/>
          <w:sz w:val="21"/>
          <w:szCs w:val="21"/>
          <w:lang w:eastAsia="pt-BR"/>
        </w:rPr>
        <w:t>Na perspectiva de contribuir com a construção e o compartilhamento de saberes no âmbito do Sistema Único de Assistência Social - SUAS, o CONGEMAS realiza, anualmente, o conjunto de Encontros Regionais e Nacional, configurando-se em um espaço privilegiado de conhecimento e debate da diversidade regional brasileira, com o olhar atento dos gestores sobre a proteção socioassistencial e para os problemas vivenciados nos municípios. Trata-se de um espaço que possibilita a construção da unidade entre os gestores municipais em defesa do SUAS e aprimora a participação desses atores nas instâncias de pactuação e deliberação.</w:t>
      </w:r>
    </w:p>
    <w:p w:rsidR="00465C93" w:rsidRPr="00465C93" w:rsidRDefault="00465C93" w:rsidP="00465C93">
      <w:pPr>
        <w:shd w:val="clear" w:color="auto" w:fill="FFFFFF"/>
        <w:spacing w:before="270" w:after="150" w:line="360" w:lineRule="atLeast"/>
        <w:ind w:left="-142"/>
        <w:jc w:val="both"/>
        <w:rPr>
          <w:rFonts w:ascii="Arial" w:eastAsia="Times New Roman" w:hAnsi="Arial" w:cs="Arial"/>
          <w:color w:val="333333"/>
          <w:spacing w:val="15"/>
          <w:sz w:val="29"/>
          <w:szCs w:val="29"/>
          <w:lang w:eastAsia="pt-BR"/>
        </w:rPr>
      </w:pPr>
      <w:r w:rsidRPr="00465C93">
        <w:rPr>
          <w:rFonts w:ascii="Verdana" w:eastAsia="Times New Roman" w:hAnsi="Verdana" w:cs="Arial"/>
          <w:color w:val="333333"/>
          <w:spacing w:val="15"/>
          <w:sz w:val="21"/>
          <w:szCs w:val="21"/>
          <w:lang w:eastAsia="pt-BR"/>
        </w:rPr>
        <w:t xml:space="preserve">Nessa perspectiva e no intuito de fortalecer o Sistema Único de Assistência Social (SUAS), visando garantir a participação de Gestores, </w:t>
      </w:r>
      <w:r w:rsidRPr="00465C93">
        <w:rPr>
          <w:rFonts w:ascii="Verdana" w:eastAsia="Times New Roman" w:hAnsi="Verdana" w:cs="Arial"/>
          <w:color w:val="333333"/>
          <w:spacing w:val="15"/>
          <w:sz w:val="21"/>
          <w:szCs w:val="21"/>
          <w:lang w:eastAsia="pt-BR"/>
        </w:rPr>
        <w:lastRenderedPageBreak/>
        <w:t>técnicos, trabalhadores, conselheiros e usuários no 22º Encontro Nacional do CONGEMAS, o Colegiado Nacional de Gestores Municipais da Assistência Social, por meio desse instrumento, disponibiliza nota explicativa baseada nas referências orientativas de Portarias, Decretos e Manuais do Ministério da Cidadania e da Secretaria Nacional de Assistência Social, para que ao tempo e as necessidades do ciclo de despesas públicas, possa ser utilizado na justificava para a uso dos recursos para tais fins, objetivando garantir a formação e a troca de saberes no encontro nacional.</w:t>
      </w:r>
    </w:p>
    <w:p w:rsidR="00465C93" w:rsidRPr="00465C93" w:rsidRDefault="00465C93" w:rsidP="00465C93">
      <w:pPr>
        <w:shd w:val="clear" w:color="auto" w:fill="FFFFFF"/>
        <w:spacing w:before="270" w:after="150" w:line="360" w:lineRule="atLeast"/>
        <w:ind w:left="-142"/>
        <w:jc w:val="both"/>
        <w:rPr>
          <w:rFonts w:ascii="Arial" w:eastAsia="Times New Roman" w:hAnsi="Arial" w:cs="Arial"/>
          <w:color w:val="333333"/>
          <w:spacing w:val="15"/>
          <w:sz w:val="29"/>
          <w:szCs w:val="29"/>
          <w:lang w:eastAsia="pt-BR"/>
        </w:rPr>
      </w:pPr>
      <w:r w:rsidRPr="00465C93">
        <w:rPr>
          <w:rFonts w:ascii="Verdana" w:eastAsia="Times New Roman" w:hAnsi="Verdana" w:cs="Arial"/>
          <w:color w:val="333333"/>
          <w:spacing w:val="15"/>
          <w:sz w:val="21"/>
          <w:szCs w:val="21"/>
          <w:lang w:eastAsia="pt-BR"/>
        </w:rPr>
        <w:t>O Decreto Nº 7.788, DE 15 DE AGOSTO DE 2012, Regulamenta o Fundo Nacional de Assistência Social, instituído pela Lei nº 8.742, de 7 de dezembro de 1993, e dá outras providências. Este decreto inovou quanto à destinação dos recursos transferidos pelo FNAS ao dispor que os recursos repassados na modalidade fundo a fundo podem ser gastos no Cofinanciamento para a capacitação de recursos humanos e o desenvolvimento de estudos e pesquisas essenciais à execução de serviços, programas e projetos de assistência social.</w:t>
      </w:r>
    </w:p>
    <w:p w:rsidR="00465C93" w:rsidRPr="00465C93" w:rsidRDefault="00465C93" w:rsidP="00465C93">
      <w:pPr>
        <w:shd w:val="clear" w:color="auto" w:fill="FFFFFF"/>
        <w:spacing w:before="270" w:after="150" w:line="360" w:lineRule="atLeast"/>
        <w:ind w:left="-142"/>
        <w:jc w:val="both"/>
        <w:rPr>
          <w:rFonts w:ascii="Arial" w:eastAsia="Times New Roman" w:hAnsi="Arial" w:cs="Arial"/>
          <w:color w:val="333333"/>
          <w:spacing w:val="15"/>
          <w:sz w:val="29"/>
          <w:szCs w:val="29"/>
          <w:lang w:eastAsia="pt-BR"/>
        </w:rPr>
      </w:pPr>
      <w:r w:rsidRPr="00465C93">
        <w:rPr>
          <w:rFonts w:ascii="Verdana" w:eastAsia="Times New Roman" w:hAnsi="Verdana" w:cs="Arial"/>
          <w:b/>
          <w:bCs/>
          <w:color w:val="333333"/>
          <w:spacing w:val="15"/>
          <w:sz w:val="21"/>
          <w:szCs w:val="21"/>
          <w:lang w:eastAsia="pt-BR"/>
        </w:rPr>
        <w:t>Importante!</w:t>
      </w:r>
    </w:p>
    <w:p w:rsidR="00465C93" w:rsidRPr="00465C93" w:rsidRDefault="00465C93" w:rsidP="00465C93">
      <w:pPr>
        <w:shd w:val="clear" w:color="auto" w:fill="FFFFFF"/>
        <w:spacing w:before="270" w:after="150" w:line="360" w:lineRule="atLeast"/>
        <w:ind w:left="-142"/>
        <w:jc w:val="both"/>
        <w:rPr>
          <w:rFonts w:ascii="Arial" w:eastAsia="Times New Roman" w:hAnsi="Arial" w:cs="Arial"/>
          <w:color w:val="333333"/>
          <w:spacing w:val="15"/>
          <w:sz w:val="29"/>
          <w:szCs w:val="29"/>
          <w:lang w:eastAsia="pt-BR"/>
        </w:rPr>
      </w:pPr>
      <w:r w:rsidRPr="00465C93">
        <w:rPr>
          <w:rFonts w:ascii="Verdana" w:eastAsia="Times New Roman" w:hAnsi="Verdana" w:cs="Arial"/>
          <w:color w:val="333333"/>
          <w:spacing w:val="15"/>
          <w:sz w:val="21"/>
          <w:szCs w:val="21"/>
          <w:lang w:eastAsia="pt-BR"/>
        </w:rPr>
        <w:t>O Decreto nº 7.788/2012 criou a possibilidade de o cofinanciamento da assistência social ocorrer por meio de blocos de financiamentos, que possibilitam maior flexibilidade na utilização de recursos e facilitam a gestão financeira. São considerados blocos de financiamento o conjunto de serviços, programas, projetos e sua gestão, na forma definida em ato do Ministério de Estado da Cidadania e pela Secretaria Nacional de Assistência Social.</w:t>
      </w:r>
    </w:p>
    <w:p w:rsidR="00465C93" w:rsidRPr="00465C93" w:rsidRDefault="00465C93" w:rsidP="00465C93">
      <w:pPr>
        <w:shd w:val="clear" w:color="auto" w:fill="FFFFFF"/>
        <w:spacing w:before="270" w:after="150" w:line="360" w:lineRule="atLeast"/>
        <w:jc w:val="both"/>
        <w:rPr>
          <w:rFonts w:ascii="Arial" w:eastAsia="Times New Roman" w:hAnsi="Arial" w:cs="Arial"/>
          <w:color w:val="333333"/>
          <w:spacing w:val="15"/>
          <w:sz w:val="29"/>
          <w:szCs w:val="29"/>
          <w:lang w:eastAsia="pt-BR"/>
        </w:rPr>
      </w:pPr>
      <w:r w:rsidRPr="00465C93">
        <w:rPr>
          <w:rFonts w:ascii="Verdana" w:eastAsia="Times New Roman" w:hAnsi="Verdana" w:cs="Arial"/>
          <w:b/>
          <w:bCs/>
          <w:color w:val="333333"/>
          <w:spacing w:val="15"/>
          <w:sz w:val="21"/>
          <w:szCs w:val="21"/>
          <w:lang w:eastAsia="pt-BR"/>
        </w:rPr>
        <w:t>Recursos da PSB e PSE:</w:t>
      </w:r>
    </w:p>
    <w:p w:rsidR="00465C93" w:rsidRPr="00465C93" w:rsidRDefault="00465C93" w:rsidP="00465C93">
      <w:pPr>
        <w:shd w:val="clear" w:color="auto" w:fill="FFFFFF"/>
        <w:spacing w:before="270" w:after="150" w:line="360" w:lineRule="atLeast"/>
        <w:ind w:left="-142"/>
        <w:jc w:val="both"/>
        <w:rPr>
          <w:rFonts w:ascii="Arial" w:eastAsia="Times New Roman" w:hAnsi="Arial" w:cs="Arial"/>
          <w:color w:val="333333"/>
          <w:spacing w:val="15"/>
          <w:sz w:val="29"/>
          <w:szCs w:val="29"/>
          <w:lang w:eastAsia="pt-BR"/>
        </w:rPr>
      </w:pPr>
      <w:r w:rsidRPr="00465C93">
        <w:rPr>
          <w:rFonts w:ascii="Verdana" w:eastAsia="Times New Roman" w:hAnsi="Verdana" w:cs="Arial"/>
          <w:color w:val="333333"/>
          <w:spacing w:val="15"/>
          <w:sz w:val="21"/>
          <w:szCs w:val="21"/>
          <w:lang w:eastAsia="pt-BR"/>
        </w:rPr>
        <w:t>A NOB-RH/SUAS, instituída por meio da Resolução CNAS n° 269, de 13 de dezembro de 2006, representa um avanço no que diz respeito à profissionalização da política de assistência social, com vistas a garantir aos seus usuários serviços públicos de qualidade.</w:t>
      </w:r>
    </w:p>
    <w:p w:rsidR="00465C93" w:rsidRPr="00465C93" w:rsidRDefault="00465C93" w:rsidP="00465C93">
      <w:pPr>
        <w:shd w:val="clear" w:color="auto" w:fill="FFFFFF"/>
        <w:spacing w:before="270" w:after="150" w:line="360" w:lineRule="atLeast"/>
        <w:ind w:left="-142"/>
        <w:jc w:val="both"/>
        <w:rPr>
          <w:rFonts w:ascii="Arial" w:eastAsia="Times New Roman" w:hAnsi="Arial" w:cs="Arial"/>
          <w:color w:val="333333"/>
          <w:spacing w:val="15"/>
          <w:sz w:val="29"/>
          <w:szCs w:val="29"/>
          <w:lang w:eastAsia="pt-BR"/>
        </w:rPr>
      </w:pPr>
      <w:r w:rsidRPr="00465C93">
        <w:rPr>
          <w:rFonts w:ascii="Verdana" w:eastAsia="Times New Roman" w:hAnsi="Verdana" w:cs="Arial"/>
          <w:color w:val="333333"/>
          <w:spacing w:val="15"/>
          <w:sz w:val="21"/>
          <w:szCs w:val="21"/>
          <w:lang w:eastAsia="pt-BR"/>
        </w:rPr>
        <w:t>Esta normativa estabelece diretrizes e princípios que devem orientar os gestores das três esferas de governo nas questões relativas à gestão do trabalho e à Educação Permanente no SUAS. Entre outros aspectos, sendo essa normativa, ao estabelecer a concepção de equipes de referência, reafirma o caráter público da Política, bem como a necessidade de sua oferta qualificada e contínua, tendo em vista as demandas e necessidades sociais e sua complexidade.</w:t>
      </w:r>
    </w:p>
    <w:p w:rsidR="00465C93" w:rsidRPr="00465C93" w:rsidRDefault="00465C93" w:rsidP="00465C93">
      <w:pPr>
        <w:shd w:val="clear" w:color="auto" w:fill="FFFFFF"/>
        <w:spacing w:before="270" w:after="150" w:line="360" w:lineRule="atLeast"/>
        <w:ind w:left="-142"/>
        <w:jc w:val="both"/>
        <w:rPr>
          <w:rFonts w:ascii="Arial" w:eastAsia="Times New Roman" w:hAnsi="Arial" w:cs="Arial"/>
          <w:color w:val="333333"/>
          <w:spacing w:val="15"/>
          <w:sz w:val="29"/>
          <w:szCs w:val="29"/>
          <w:lang w:eastAsia="pt-BR"/>
        </w:rPr>
      </w:pPr>
      <w:r w:rsidRPr="00465C93">
        <w:rPr>
          <w:rFonts w:ascii="Verdana" w:eastAsia="Times New Roman" w:hAnsi="Verdana" w:cs="Arial"/>
          <w:color w:val="333333"/>
          <w:spacing w:val="15"/>
          <w:sz w:val="21"/>
          <w:szCs w:val="21"/>
          <w:lang w:eastAsia="pt-BR"/>
        </w:rPr>
        <w:t>É importante ressaltar que as equipes de referência definidas pela normativa possibilitam a formação de um padrão nacional, com profissionais cuja presença é obrigatória, de acordo com o nível de proteção social e complexidade. Este padrão, cuja constituição se baseia nas necessidades básicas do SUAS, deve ser compreendido como uma referência e uma garantia à efetivação da Política e deve ser assegurado pelos gestores de todas as esferas de governo, seja nas unidades públicas estatais, seja nas organizações e entidades socioassistenciais.</w:t>
      </w:r>
    </w:p>
    <w:p w:rsidR="00465C93" w:rsidRPr="00465C93" w:rsidRDefault="00465C93" w:rsidP="00465C93">
      <w:pPr>
        <w:shd w:val="clear" w:color="auto" w:fill="FFFFFF"/>
        <w:spacing w:before="270" w:after="150" w:line="360" w:lineRule="atLeast"/>
        <w:ind w:left="-142"/>
        <w:jc w:val="both"/>
        <w:rPr>
          <w:rFonts w:ascii="Arial" w:eastAsia="Times New Roman" w:hAnsi="Arial" w:cs="Arial"/>
          <w:color w:val="333333"/>
          <w:spacing w:val="15"/>
          <w:sz w:val="29"/>
          <w:szCs w:val="29"/>
          <w:lang w:eastAsia="pt-BR"/>
        </w:rPr>
      </w:pPr>
      <w:r w:rsidRPr="00465C93">
        <w:rPr>
          <w:rFonts w:ascii="Verdana" w:eastAsia="Times New Roman" w:hAnsi="Verdana" w:cs="Arial"/>
          <w:color w:val="333333"/>
          <w:spacing w:val="15"/>
          <w:sz w:val="21"/>
          <w:szCs w:val="21"/>
          <w:lang w:eastAsia="pt-BR"/>
        </w:rPr>
        <w:t>Entretanto, sabe-se que a complexidade dos fenômenos e necessidades sociais demandam outros saberes, habilidades e práticas profissionais, que devem integrar as equipes de referência, de acordo com cada oferta socioassistencial.</w:t>
      </w:r>
    </w:p>
    <w:p w:rsidR="00465C93" w:rsidRPr="00465C93" w:rsidRDefault="00465C93" w:rsidP="00465C93">
      <w:pPr>
        <w:shd w:val="clear" w:color="auto" w:fill="FFFFFF"/>
        <w:spacing w:before="270" w:after="150" w:line="360" w:lineRule="atLeast"/>
        <w:ind w:left="-142"/>
        <w:jc w:val="both"/>
        <w:rPr>
          <w:rFonts w:ascii="Arial" w:eastAsia="Times New Roman" w:hAnsi="Arial" w:cs="Arial"/>
          <w:color w:val="333333"/>
          <w:spacing w:val="15"/>
          <w:sz w:val="29"/>
          <w:szCs w:val="29"/>
          <w:lang w:eastAsia="pt-BR"/>
        </w:rPr>
      </w:pPr>
      <w:r w:rsidRPr="00465C93">
        <w:rPr>
          <w:rFonts w:ascii="Verdana" w:eastAsia="Times New Roman" w:hAnsi="Verdana" w:cs="Arial"/>
          <w:color w:val="333333"/>
          <w:spacing w:val="15"/>
          <w:sz w:val="21"/>
          <w:szCs w:val="21"/>
          <w:lang w:eastAsia="pt-BR"/>
        </w:rPr>
        <w:t>Ainda, devemos considerar que a NOB-RH/SUAS já apontava para a necessidade do fortalecimento e desenvolvimento de competências profissionais que atendam e possibilitem o alcance dos objetivos do SUAS, ao reiterar a importância e estabelecer diretrizes para as ações de formação e capacitação dos profissionais.</w:t>
      </w:r>
    </w:p>
    <w:p w:rsidR="00465C93" w:rsidRPr="00465C93" w:rsidRDefault="00465C93" w:rsidP="00465C93">
      <w:pPr>
        <w:shd w:val="clear" w:color="auto" w:fill="FFFFFF"/>
        <w:spacing w:before="270" w:after="150" w:line="360" w:lineRule="atLeast"/>
        <w:ind w:left="-142"/>
        <w:jc w:val="both"/>
        <w:rPr>
          <w:rFonts w:ascii="Arial" w:eastAsia="Times New Roman" w:hAnsi="Arial" w:cs="Arial"/>
          <w:color w:val="333333"/>
          <w:spacing w:val="15"/>
          <w:sz w:val="29"/>
          <w:szCs w:val="29"/>
          <w:lang w:eastAsia="pt-BR"/>
        </w:rPr>
      </w:pPr>
      <w:r w:rsidRPr="00465C93">
        <w:rPr>
          <w:rFonts w:ascii="Verdana" w:eastAsia="Times New Roman" w:hAnsi="Verdana" w:cs="Arial"/>
          <w:color w:val="333333"/>
          <w:spacing w:val="15"/>
          <w:sz w:val="21"/>
          <w:szCs w:val="21"/>
          <w:lang w:eastAsia="pt-BR"/>
        </w:rPr>
        <w:t>Sendo assim, os recursos desses Blocos permitem sua utilização para a viabilidade de suas equipes a participarem em eventos regionais, estaduais ou nacionais, sobre a política de Assistência Social em consonância com a temática das Proteções Básica e Especial e a intersetorialidade para a execução efetiva e o trabalho social com famílias no escopo do SUAS. (custeio da capacitação, das diárias e passagens).</w:t>
      </w:r>
    </w:p>
    <w:p w:rsidR="00465C93" w:rsidRPr="00465C93" w:rsidRDefault="00465C93" w:rsidP="00465C93">
      <w:pPr>
        <w:shd w:val="clear" w:color="auto" w:fill="FFFFFF"/>
        <w:spacing w:before="270" w:after="150" w:line="360" w:lineRule="atLeast"/>
        <w:jc w:val="both"/>
        <w:rPr>
          <w:rFonts w:ascii="Arial" w:eastAsia="Times New Roman" w:hAnsi="Arial" w:cs="Arial"/>
          <w:color w:val="333333"/>
          <w:spacing w:val="15"/>
          <w:sz w:val="29"/>
          <w:szCs w:val="29"/>
          <w:lang w:eastAsia="pt-BR"/>
        </w:rPr>
      </w:pPr>
      <w:r w:rsidRPr="00465C93">
        <w:rPr>
          <w:rFonts w:ascii="Verdana" w:eastAsia="Times New Roman" w:hAnsi="Verdana" w:cs="Arial"/>
          <w:b/>
          <w:bCs/>
          <w:color w:val="333333"/>
          <w:spacing w:val="15"/>
          <w:sz w:val="21"/>
          <w:szCs w:val="21"/>
          <w:lang w:eastAsia="pt-BR"/>
        </w:rPr>
        <w:t>Com o recurso do IGD-M (IGD-PAB):</w:t>
      </w:r>
    </w:p>
    <w:p w:rsidR="00465C93" w:rsidRPr="00465C93" w:rsidRDefault="00465C93" w:rsidP="00465C9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pacing w:val="15"/>
          <w:sz w:val="21"/>
          <w:szCs w:val="21"/>
          <w:lang w:eastAsia="pt-BR"/>
        </w:rPr>
      </w:pPr>
      <w:r w:rsidRPr="00465C93">
        <w:rPr>
          <w:rFonts w:ascii="Verdana" w:eastAsia="Times New Roman" w:hAnsi="Verdana" w:cs="Arial"/>
          <w:color w:val="333333"/>
          <w:spacing w:val="15"/>
          <w:sz w:val="21"/>
          <w:szCs w:val="21"/>
          <w:lang w:eastAsia="pt-BR"/>
        </w:rPr>
        <w:t>Capacitação dos servidores envolvidos no processo de acompanhamento das condicionalidades, gestão municipal do CadÚnico e Controle Social.</w:t>
      </w:r>
    </w:p>
    <w:p w:rsidR="00465C93" w:rsidRPr="00465C93" w:rsidRDefault="00465C93" w:rsidP="00465C9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pacing w:val="15"/>
          <w:sz w:val="21"/>
          <w:szCs w:val="21"/>
          <w:lang w:eastAsia="pt-BR"/>
        </w:rPr>
      </w:pPr>
      <w:r w:rsidRPr="00465C93">
        <w:rPr>
          <w:rFonts w:ascii="Verdana" w:eastAsia="Times New Roman" w:hAnsi="Verdana" w:cs="Arial"/>
          <w:color w:val="333333"/>
          <w:spacing w:val="15"/>
          <w:sz w:val="21"/>
          <w:szCs w:val="21"/>
          <w:lang w:eastAsia="pt-BR"/>
        </w:rPr>
        <w:t>Participação de cursos e capacitações sobre o acompanhamento das condicionalidades, tanto no que se refere aos seus aspectos gerais e a planejamentos, bem como a inserção dos dados nos sistemas; e/ou</w:t>
      </w:r>
    </w:p>
    <w:p w:rsidR="00465C93" w:rsidRPr="00465C93" w:rsidRDefault="00465C93" w:rsidP="00465C9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pacing w:val="15"/>
          <w:sz w:val="21"/>
          <w:szCs w:val="21"/>
          <w:lang w:eastAsia="pt-BR"/>
        </w:rPr>
      </w:pPr>
      <w:r w:rsidRPr="00465C93">
        <w:rPr>
          <w:rFonts w:ascii="Verdana" w:eastAsia="Times New Roman" w:hAnsi="Verdana" w:cs="Arial"/>
          <w:color w:val="333333"/>
          <w:spacing w:val="15"/>
          <w:sz w:val="21"/>
          <w:szCs w:val="21"/>
          <w:lang w:eastAsia="pt-BR"/>
        </w:rPr>
        <w:t>Participar em eventos regionais, estaduais ou nacionais, sobre condicionalidades, gestão do CadÚnico e Controle Social. (custeio da capacitação, das diárias e passagens).</w:t>
      </w:r>
    </w:p>
    <w:p w:rsidR="00465C93" w:rsidRPr="00465C93" w:rsidRDefault="00465C93" w:rsidP="00465C93">
      <w:pPr>
        <w:numPr>
          <w:ilvl w:val="0"/>
          <w:numId w:val="1"/>
        </w:numPr>
        <w:shd w:val="clear" w:color="auto" w:fill="FFFFFF"/>
        <w:spacing w:after="150" w:line="360" w:lineRule="atLeast"/>
        <w:jc w:val="both"/>
        <w:rPr>
          <w:rFonts w:ascii="Arial" w:eastAsia="Times New Roman" w:hAnsi="Arial" w:cs="Arial"/>
          <w:color w:val="333333"/>
          <w:spacing w:val="15"/>
          <w:sz w:val="25"/>
          <w:szCs w:val="25"/>
          <w:lang w:eastAsia="pt-BR"/>
        </w:rPr>
      </w:pPr>
      <w:r w:rsidRPr="00465C93">
        <w:rPr>
          <w:rFonts w:ascii="Verdana" w:eastAsia="Times New Roman" w:hAnsi="Verdana" w:cs="Arial"/>
          <w:color w:val="333333"/>
          <w:spacing w:val="15"/>
          <w:sz w:val="21"/>
          <w:szCs w:val="21"/>
          <w:lang w:eastAsia="pt-BR"/>
        </w:rPr>
        <w:t>É muito importante que os servidores envolvidos no processo de acompanhamento das condicionalidades e gestão do Cadastro Único conheçam suas atribuições e estejam devidamente qualificados. Assim, podem atuar de maneira adequada, contribuindo com melhorias constantes das taxas da Gestão Local do PAB e do Cadastro Único e, consequentemente, proporcionando mais recursos do IGD-M para o município.</w:t>
      </w:r>
    </w:p>
    <w:p w:rsidR="00465C93" w:rsidRPr="00465C93" w:rsidRDefault="00465C93" w:rsidP="00465C93">
      <w:pPr>
        <w:shd w:val="clear" w:color="auto" w:fill="FFFFFF"/>
        <w:spacing w:before="270" w:after="150" w:line="360" w:lineRule="atLeast"/>
        <w:ind w:left="720"/>
        <w:jc w:val="both"/>
        <w:rPr>
          <w:rFonts w:ascii="Arial" w:eastAsia="Times New Roman" w:hAnsi="Arial" w:cs="Arial"/>
          <w:color w:val="333333"/>
          <w:spacing w:val="15"/>
          <w:sz w:val="25"/>
          <w:szCs w:val="25"/>
          <w:lang w:eastAsia="pt-BR"/>
        </w:rPr>
      </w:pPr>
      <w:r w:rsidRPr="00465C93">
        <w:rPr>
          <w:rFonts w:ascii="Verdana" w:eastAsia="Times New Roman" w:hAnsi="Verdana" w:cs="Arial"/>
          <w:color w:val="333333"/>
          <w:spacing w:val="15"/>
          <w:sz w:val="21"/>
          <w:szCs w:val="21"/>
          <w:lang w:eastAsia="pt-BR"/>
        </w:rPr>
        <w:t>Vale ressaltar da necessidade da interlocução contínua com o CMAS e capacitação de conselheiros, bem como apoio técnico e operacional.</w:t>
      </w:r>
    </w:p>
    <w:p w:rsidR="00465C93" w:rsidRPr="00465C93" w:rsidRDefault="00465C93" w:rsidP="00465C93">
      <w:pPr>
        <w:shd w:val="clear" w:color="auto" w:fill="FFFFFF"/>
        <w:spacing w:before="270" w:after="150" w:line="360" w:lineRule="atLeast"/>
        <w:ind w:left="720"/>
        <w:jc w:val="both"/>
        <w:rPr>
          <w:rFonts w:ascii="Arial" w:eastAsia="Times New Roman" w:hAnsi="Arial" w:cs="Arial"/>
          <w:color w:val="333333"/>
          <w:spacing w:val="15"/>
          <w:sz w:val="25"/>
          <w:szCs w:val="25"/>
          <w:lang w:eastAsia="pt-BR"/>
        </w:rPr>
      </w:pPr>
      <w:r w:rsidRPr="00465C93">
        <w:rPr>
          <w:rFonts w:ascii="Verdana" w:eastAsia="Times New Roman" w:hAnsi="Verdana" w:cs="Arial"/>
          <w:b/>
          <w:bCs/>
          <w:color w:val="333333"/>
          <w:spacing w:val="15"/>
          <w:sz w:val="21"/>
          <w:szCs w:val="21"/>
          <w:lang w:eastAsia="pt-BR"/>
        </w:rPr>
        <w:t>Com recursos do IGD-SUAS:</w:t>
      </w:r>
    </w:p>
    <w:p w:rsidR="00465C93" w:rsidRPr="00465C93" w:rsidRDefault="00465C93" w:rsidP="00465C93">
      <w:pPr>
        <w:shd w:val="clear" w:color="auto" w:fill="FFFFFF"/>
        <w:spacing w:before="270" w:after="150" w:line="360" w:lineRule="atLeast"/>
        <w:ind w:left="720"/>
        <w:jc w:val="both"/>
        <w:rPr>
          <w:rFonts w:ascii="Arial" w:eastAsia="Times New Roman" w:hAnsi="Arial" w:cs="Arial"/>
          <w:color w:val="333333"/>
          <w:spacing w:val="15"/>
          <w:sz w:val="25"/>
          <w:szCs w:val="25"/>
          <w:lang w:eastAsia="pt-BR"/>
        </w:rPr>
      </w:pPr>
      <w:r w:rsidRPr="00465C93">
        <w:rPr>
          <w:rFonts w:ascii="Verdana" w:eastAsia="Times New Roman" w:hAnsi="Verdana" w:cs="Arial"/>
          <w:color w:val="333333"/>
          <w:spacing w:val="15"/>
          <w:sz w:val="21"/>
          <w:szCs w:val="21"/>
          <w:lang w:eastAsia="pt-BR"/>
        </w:rPr>
        <w:t>Organização, financiamento e participação em eventos de capacitação, encontros, seminários e oficinas, especialmente a participação dos conselheiros da sociedade civil, sendo:</w:t>
      </w:r>
    </w:p>
    <w:p w:rsidR="00465C93" w:rsidRPr="00465C93" w:rsidRDefault="00465C93" w:rsidP="00465C93">
      <w:pPr>
        <w:shd w:val="clear" w:color="auto" w:fill="FFFFFF"/>
        <w:spacing w:before="270" w:after="150" w:line="360" w:lineRule="atLeast"/>
        <w:ind w:left="720"/>
        <w:jc w:val="both"/>
        <w:rPr>
          <w:rFonts w:ascii="Arial" w:eastAsia="Times New Roman" w:hAnsi="Arial" w:cs="Arial"/>
          <w:color w:val="333333"/>
          <w:spacing w:val="15"/>
          <w:sz w:val="25"/>
          <w:szCs w:val="25"/>
          <w:lang w:eastAsia="pt-BR"/>
        </w:rPr>
      </w:pPr>
      <w:r w:rsidRPr="00465C93">
        <w:rPr>
          <w:rFonts w:ascii="Verdana" w:eastAsia="Times New Roman" w:hAnsi="Verdana" w:cs="Arial"/>
          <w:color w:val="333333"/>
          <w:spacing w:val="15"/>
          <w:sz w:val="21"/>
          <w:szCs w:val="21"/>
          <w:lang w:eastAsia="pt-BR"/>
        </w:rPr>
        <w:t> Inscrição, custeio de diárias e passagens para deslocamentos para participação em eventos, encontros, capacitações, oficinas do SUAS, inclusive fora do município.</w:t>
      </w:r>
    </w:p>
    <w:p w:rsidR="00465C93" w:rsidRPr="00465C93" w:rsidRDefault="00465C93" w:rsidP="00465C93">
      <w:pPr>
        <w:shd w:val="clear" w:color="auto" w:fill="FFFFFF"/>
        <w:spacing w:before="270" w:after="150" w:line="360" w:lineRule="atLeast"/>
        <w:ind w:left="720"/>
        <w:jc w:val="both"/>
        <w:rPr>
          <w:rFonts w:ascii="Arial" w:eastAsia="Times New Roman" w:hAnsi="Arial" w:cs="Arial"/>
          <w:color w:val="333333"/>
          <w:spacing w:val="15"/>
          <w:sz w:val="25"/>
          <w:szCs w:val="25"/>
          <w:lang w:eastAsia="pt-BR"/>
        </w:rPr>
      </w:pPr>
      <w:r w:rsidRPr="00465C93">
        <w:rPr>
          <w:rFonts w:ascii="Verdana" w:eastAsia="Times New Roman" w:hAnsi="Verdana" w:cs="Arial"/>
          <w:b/>
          <w:bCs/>
          <w:color w:val="333333"/>
          <w:spacing w:val="15"/>
          <w:sz w:val="21"/>
          <w:szCs w:val="21"/>
          <w:lang w:eastAsia="pt-BR"/>
        </w:rPr>
        <w:t>Atenção:</w:t>
      </w:r>
    </w:p>
    <w:p w:rsidR="00465C93" w:rsidRPr="00465C93" w:rsidRDefault="00465C93" w:rsidP="00465C93">
      <w:pPr>
        <w:shd w:val="clear" w:color="auto" w:fill="FFFFFF"/>
        <w:spacing w:beforeAutospacing="1" w:after="0" w:afterAutospacing="1" w:line="240" w:lineRule="auto"/>
        <w:ind w:left="720"/>
        <w:jc w:val="both"/>
        <w:rPr>
          <w:rFonts w:ascii="Arial" w:eastAsia="Times New Roman" w:hAnsi="Arial" w:cs="Arial"/>
          <w:color w:val="333333"/>
          <w:spacing w:val="15"/>
          <w:sz w:val="21"/>
          <w:szCs w:val="21"/>
          <w:lang w:eastAsia="pt-BR"/>
        </w:rPr>
      </w:pPr>
      <w:r w:rsidRPr="00465C93">
        <w:rPr>
          <w:rFonts w:ascii="Verdana" w:eastAsia="Times New Roman" w:hAnsi="Verdana" w:cs="Arial"/>
          <w:color w:val="333333"/>
          <w:spacing w:val="15"/>
          <w:sz w:val="21"/>
          <w:szCs w:val="21"/>
          <w:lang w:eastAsia="pt-BR"/>
        </w:rPr>
        <w:t>o ordenador de despesa deverá ser justificar objetivamente nos autos, como a participação no evento irá contribuir para a melhoria da capacidade técnica dos participantes, na execução de suas tarefas, e/ou no aprimoramento da gestão do SUAS. Todas as despesas, seja com inscrição, diária e passagens devem ser comprovadas por meio de cartão de embarque e as diárias – e no caso da inscrição por meio de notas fiscais, boleto e comprovantes de pagamentos.</w:t>
      </w:r>
    </w:p>
    <w:p w:rsidR="00465C93" w:rsidRPr="00465C93" w:rsidRDefault="00465C93" w:rsidP="00465C93">
      <w:pPr>
        <w:shd w:val="clear" w:color="auto" w:fill="FFFFFF"/>
        <w:spacing w:after="150" w:line="360" w:lineRule="atLeast"/>
        <w:ind w:left="720"/>
        <w:jc w:val="both"/>
        <w:rPr>
          <w:rFonts w:ascii="Arial" w:eastAsia="Times New Roman" w:hAnsi="Arial" w:cs="Arial"/>
          <w:color w:val="333333"/>
          <w:spacing w:val="15"/>
          <w:sz w:val="25"/>
          <w:szCs w:val="25"/>
          <w:lang w:eastAsia="pt-BR"/>
        </w:rPr>
      </w:pPr>
      <w:r w:rsidRPr="00465C93">
        <w:rPr>
          <w:rFonts w:ascii="Verdana" w:eastAsia="Times New Roman" w:hAnsi="Verdana" w:cs="Arial"/>
          <w:b/>
          <w:bCs/>
          <w:color w:val="333333"/>
          <w:spacing w:val="15"/>
          <w:sz w:val="21"/>
          <w:szCs w:val="21"/>
          <w:lang w:eastAsia="pt-BR"/>
        </w:rPr>
        <w:t>Recurso do Primeira Infância no SUAS – Programa Criança Feliz:</w:t>
      </w:r>
    </w:p>
    <w:p w:rsidR="00465C93" w:rsidRPr="00465C93" w:rsidRDefault="00465C93" w:rsidP="00465C93">
      <w:pPr>
        <w:shd w:val="clear" w:color="auto" w:fill="FFFFFF"/>
        <w:spacing w:before="270" w:after="150" w:line="360" w:lineRule="atLeast"/>
        <w:ind w:left="720"/>
        <w:jc w:val="both"/>
        <w:rPr>
          <w:rFonts w:ascii="Arial" w:eastAsia="Times New Roman" w:hAnsi="Arial" w:cs="Arial"/>
          <w:color w:val="333333"/>
          <w:spacing w:val="15"/>
          <w:sz w:val="25"/>
          <w:szCs w:val="25"/>
          <w:lang w:eastAsia="pt-BR"/>
        </w:rPr>
      </w:pPr>
      <w:r w:rsidRPr="00465C93">
        <w:rPr>
          <w:rFonts w:ascii="Verdana" w:eastAsia="Times New Roman" w:hAnsi="Verdana" w:cs="Arial"/>
          <w:color w:val="333333"/>
          <w:spacing w:val="15"/>
          <w:sz w:val="21"/>
          <w:szCs w:val="21"/>
          <w:lang w:eastAsia="pt-BR"/>
        </w:rPr>
        <w:t>A portaria 664/2021 deixa clara nos artigos 4º e 75, que os recursos do Programa seguem a lógica dentro do SUAS, possibilitando o uso dos recursos para a participação da Equipe PCF em eventos que visem a capacitação e formação desses profissionais, além da integração por meio da intersetorialidade.   </w:t>
      </w:r>
    </w:p>
    <w:p w:rsidR="00465C93" w:rsidRPr="00465C93" w:rsidRDefault="00465C93" w:rsidP="00465C93">
      <w:pPr>
        <w:shd w:val="clear" w:color="auto" w:fill="FFFFFF"/>
        <w:spacing w:before="270" w:after="150" w:line="360" w:lineRule="atLeast"/>
        <w:ind w:left="720"/>
        <w:jc w:val="both"/>
        <w:rPr>
          <w:rFonts w:ascii="Arial" w:eastAsia="Times New Roman" w:hAnsi="Arial" w:cs="Arial"/>
          <w:color w:val="333333"/>
          <w:spacing w:val="15"/>
          <w:sz w:val="25"/>
          <w:szCs w:val="25"/>
          <w:lang w:eastAsia="pt-BR"/>
        </w:rPr>
      </w:pPr>
      <w:r w:rsidRPr="00465C93">
        <w:rPr>
          <w:rFonts w:ascii="Verdana" w:eastAsia="Times New Roman" w:hAnsi="Verdana" w:cs="Arial"/>
          <w:b/>
          <w:bCs/>
          <w:color w:val="333333"/>
          <w:spacing w:val="15"/>
          <w:sz w:val="21"/>
          <w:szCs w:val="21"/>
          <w:lang w:eastAsia="pt-BR"/>
        </w:rPr>
        <w:t>PORTARIA MC Nº 664, DE 2 DE SETEMBRO DE 2021</w:t>
      </w:r>
    </w:p>
    <w:p w:rsidR="00465C93" w:rsidRPr="00465C93" w:rsidRDefault="00465C93" w:rsidP="00465C93">
      <w:pPr>
        <w:shd w:val="clear" w:color="auto" w:fill="FFFFFF"/>
        <w:spacing w:before="270" w:after="150" w:line="360" w:lineRule="atLeast"/>
        <w:ind w:left="4968"/>
        <w:jc w:val="both"/>
        <w:rPr>
          <w:rFonts w:ascii="Arial" w:eastAsia="Times New Roman" w:hAnsi="Arial" w:cs="Arial"/>
          <w:color w:val="333333"/>
          <w:spacing w:val="15"/>
          <w:sz w:val="25"/>
          <w:szCs w:val="25"/>
          <w:lang w:eastAsia="pt-BR"/>
        </w:rPr>
      </w:pPr>
      <w:r w:rsidRPr="00465C93">
        <w:rPr>
          <w:rFonts w:ascii="Verdana" w:eastAsia="Times New Roman" w:hAnsi="Verdana" w:cs="Arial"/>
          <w:color w:val="333333"/>
          <w:spacing w:val="15"/>
          <w:sz w:val="21"/>
          <w:szCs w:val="21"/>
          <w:lang w:eastAsia="pt-BR"/>
        </w:rPr>
        <w:t>Consolida os atos normativos que regulamentam o Programa Criança Feliz/Primeira Infância no Sistema Único de Assistência Social - SUAS.</w:t>
      </w:r>
    </w:p>
    <w:p w:rsidR="00465C93" w:rsidRPr="00465C93" w:rsidRDefault="00465C93" w:rsidP="00465C93">
      <w:pPr>
        <w:shd w:val="clear" w:color="auto" w:fill="FFFFFF"/>
        <w:spacing w:before="270" w:after="150" w:line="360" w:lineRule="atLeast"/>
        <w:ind w:left="720"/>
        <w:jc w:val="both"/>
        <w:rPr>
          <w:rFonts w:ascii="Arial" w:eastAsia="Times New Roman" w:hAnsi="Arial" w:cs="Arial"/>
          <w:color w:val="333333"/>
          <w:spacing w:val="15"/>
          <w:sz w:val="25"/>
          <w:szCs w:val="25"/>
          <w:lang w:eastAsia="pt-BR"/>
        </w:rPr>
      </w:pPr>
      <w:r w:rsidRPr="00465C93">
        <w:rPr>
          <w:rFonts w:ascii="Verdana" w:eastAsia="Times New Roman" w:hAnsi="Verdana" w:cs="Arial"/>
          <w:color w:val="333333"/>
          <w:spacing w:val="15"/>
          <w:sz w:val="21"/>
          <w:szCs w:val="21"/>
          <w:lang w:eastAsia="pt-BR"/>
        </w:rPr>
        <w:t>Art. 4º Para alcançar seus objetivos, o Programa Criança Feliz tem como principais componentes:</w:t>
      </w:r>
    </w:p>
    <w:p w:rsidR="00465C93" w:rsidRPr="00465C93" w:rsidRDefault="00465C93" w:rsidP="00465C93">
      <w:pPr>
        <w:shd w:val="clear" w:color="auto" w:fill="FFFFFF"/>
        <w:spacing w:before="270" w:after="150" w:line="360" w:lineRule="atLeast"/>
        <w:ind w:left="720"/>
        <w:jc w:val="both"/>
        <w:rPr>
          <w:rFonts w:ascii="Arial" w:eastAsia="Times New Roman" w:hAnsi="Arial" w:cs="Arial"/>
          <w:color w:val="333333"/>
          <w:spacing w:val="15"/>
          <w:sz w:val="25"/>
          <w:szCs w:val="25"/>
          <w:lang w:eastAsia="pt-BR"/>
        </w:rPr>
      </w:pPr>
      <w:r w:rsidRPr="00465C93">
        <w:rPr>
          <w:rFonts w:ascii="Verdana" w:eastAsia="Times New Roman" w:hAnsi="Verdana" w:cs="Arial"/>
          <w:color w:val="333333"/>
          <w:spacing w:val="15"/>
          <w:sz w:val="21"/>
          <w:szCs w:val="21"/>
          <w:lang w:eastAsia="pt-BR"/>
        </w:rPr>
        <w:t>II - a capacitação e a educação permanente de profissionais que atuam no Programa, com vistas à qualificação do atendimento e ao fortalecimento da intersetorialidade;</w:t>
      </w:r>
    </w:p>
    <w:p w:rsidR="00465C93" w:rsidRPr="00465C93" w:rsidRDefault="00465C93" w:rsidP="00465C93">
      <w:pPr>
        <w:shd w:val="clear" w:color="auto" w:fill="FFFFFF"/>
        <w:spacing w:beforeAutospacing="1" w:after="0" w:afterAutospacing="1" w:line="240" w:lineRule="auto"/>
        <w:ind w:left="720"/>
        <w:jc w:val="both"/>
        <w:rPr>
          <w:rFonts w:ascii="Arial" w:eastAsia="Times New Roman" w:hAnsi="Arial" w:cs="Arial"/>
          <w:color w:val="333333"/>
          <w:spacing w:val="15"/>
          <w:sz w:val="21"/>
          <w:szCs w:val="21"/>
          <w:lang w:eastAsia="pt-BR"/>
        </w:rPr>
      </w:pPr>
      <w:r w:rsidRPr="00465C93">
        <w:rPr>
          <w:rFonts w:ascii="Verdana" w:eastAsia="Times New Roman" w:hAnsi="Verdana" w:cs="Arial"/>
          <w:color w:val="333333"/>
          <w:spacing w:val="15"/>
          <w:sz w:val="21"/>
          <w:szCs w:val="21"/>
          <w:lang w:eastAsia="pt-BR"/>
        </w:rPr>
        <w:t>Art. 75. Os recursos deverão seguir as diretrizes da legislação específica, publicada por este Ministério, e poderão ser utilizados para:</w:t>
      </w:r>
    </w:p>
    <w:p w:rsidR="00465C93" w:rsidRPr="00465C93" w:rsidRDefault="00465C93" w:rsidP="00465C93">
      <w:pPr>
        <w:shd w:val="clear" w:color="auto" w:fill="FFFFFF"/>
        <w:spacing w:after="150" w:line="360" w:lineRule="atLeast"/>
        <w:ind w:left="720"/>
        <w:jc w:val="both"/>
        <w:rPr>
          <w:rFonts w:ascii="Arial" w:eastAsia="Times New Roman" w:hAnsi="Arial" w:cs="Arial"/>
          <w:color w:val="333333"/>
          <w:spacing w:val="15"/>
          <w:sz w:val="25"/>
          <w:szCs w:val="25"/>
          <w:lang w:eastAsia="pt-BR"/>
        </w:rPr>
      </w:pPr>
      <w:r w:rsidRPr="00465C93">
        <w:rPr>
          <w:rFonts w:ascii="Verdana" w:eastAsia="Times New Roman" w:hAnsi="Verdana" w:cs="Arial"/>
          <w:color w:val="333333"/>
          <w:spacing w:val="15"/>
          <w:sz w:val="21"/>
          <w:szCs w:val="21"/>
          <w:lang w:eastAsia="pt-BR"/>
        </w:rPr>
        <w:t>II - organização de eventos e capacitações com temáticas relacionadas ao Programa;</w:t>
      </w:r>
    </w:p>
    <w:p w:rsidR="00465C93" w:rsidRPr="00465C93" w:rsidRDefault="00465C93" w:rsidP="00465C93">
      <w:pPr>
        <w:shd w:val="clear" w:color="auto" w:fill="FFFFFF"/>
        <w:spacing w:before="270" w:after="150" w:line="360" w:lineRule="atLeast"/>
        <w:ind w:left="720"/>
        <w:jc w:val="both"/>
        <w:rPr>
          <w:rFonts w:ascii="Arial" w:eastAsia="Times New Roman" w:hAnsi="Arial" w:cs="Arial"/>
          <w:color w:val="333333"/>
          <w:spacing w:val="15"/>
          <w:sz w:val="25"/>
          <w:szCs w:val="25"/>
          <w:lang w:eastAsia="pt-BR"/>
        </w:rPr>
      </w:pPr>
      <w:r w:rsidRPr="00465C93">
        <w:rPr>
          <w:rFonts w:ascii="Verdana" w:eastAsia="Times New Roman" w:hAnsi="Verdana" w:cs="Arial"/>
          <w:color w:val="333333"/>
          <w:spacing w:val="15"/>
          <w:sz w:val="21"/>
          <w:szCs w:val="21"/>
          <w:lang w:eastAsia="pt-BR"/>
        </w:rPr>
        <w:t>Abrindo a possibilidade do custeio da capacitação, das diárias e passagens.</w:t>
      </w:r>
    </w:p>
    <w:p w:rsidR="00465C93" w:rsidRPr="00465C93" w:rsidRDefault="00465C93" w:rsidP="00465C93">
      <w:pPr>
        <w:shd w:val="clear" w:color="auto" w:fill="FFFFFF"/>
        <w:spacing w:before="270" w:after="150" w:line="360" w:lineRule="atLeast"/>
        <w:ind w:left="720"/>
        <w:jc w:val="both"/>
        <w:rPr>
          <w:rFonts w:ascii="Arial" w:eastAsia="Times New Roman" w:hAnsi="Arial" w:cs="Arial"/>
          <w:color w:val="333333"/>
          <w:spacing w:val="15"/>
          <w:sz w:val="25"/>
          <w:szCs w:val="25"/>
          <w:lang w:eastAsia="pt-BR"/>
        </w:rPr>
      </w:pPr>
      <w:r w:rsidRPr="00465C93">
        <w:rPr>
          <w:rFonts w:ascii="Verdana" w:eastAsia="Times New Roman" w:hAnsi="Verdana" w:cs="Arial"/>
          <w:b/>
          <w:bCs/>
          <w:i/>
          <w:iCs/>
          <w:color w:val="333333"/>
          <w:spacing w:val="15"/>
          <w:sz w:val="21"/>
          <w:szCs w:val="21"/>
          <w:lang w:eastAsia="pt-BR"/>
        </w:rPr>
        <w:t>Brasília/DF, 10 de maio de 2022.</w:t>
      </w:r>
    </w:p>
    <w:p w:rsidR="00465C93" w:rsidRPr="00465C93" w:rsidRDefault="00465C93" w:rsidP="00465C93">
      <w:pPr>
        <w:shd w:val="clear" w:color="auto" w:fill="FFFFFF"/>
        <w:spacing w:before="270" w:after="150" w:line="360" w:lineRule="atLeast"/>
        <w:ind w:left="720"/>
        <w:jc w:val="right"/>
        <w:rPr>
          <w:rFonts w:ascii="Arial" w:eastAsia="Times New Roman" w:hAnsi="Arial" w:cs="Arial"/>
          <w:color w:val="333333"/>
          <w:spacing w:val="15"/>
          <w:sz w:val="25"/>
          <w:szCs w:val="25"/>
          <w:lang w:eastAsia="pt-BR"/>
        </w:rPr>
      </w:pPr>
      <w:r w:rsidRPr="00465C93">
        <w:rPr>
          <w:rFonts w:ascii="Verdana" w:eastAsia="Times New Roman" w:hAnsi="Verdana" w:cs="Arial"/>
          <w:b/>
          <w:bCs/>
          <w:i/>
          <w:iCs/>
          <w:color w:val="333333"/>
          <w:spacing w:val="15"/>
          <w:sz w:val="21"/>
          <w:szCs w:val="21"/>
          <w:lang w:eastAsia="pt-BR"/>
        </w:rPr>
        <w:t>Arimateia Oliveira</w:t>
      </w:r>
    </w:p>
    <w:p w:rsidR="00465C93" w:rsidRPr="00465C93" w:rsidRDefault="00465C93" w:rsidP="00465C93">
      <w:pPr>
        <w:shd w:val="clear" w:color="auto" w:fill="FFFFFF"/>
        <w:spacing w:before="270" w:after="150" w:line="360" w:lineRule="atLeast"/>
        <w:ind w:left="720"/>
        <w:jc w:val="right"/>
        <w:rPr>
          <w:rFonts w:ascii="Arial" w:eastAsia="Times New Roman" w:hAnsi="Arial" w:cs="Arial"/>
          <w:color w:val="333333"/>
          <w:spacing w:val="15"/>
          <w:sz w:val="25"/>
          <w:szCs w:val="25"/>
          <w:lang w:eastAsia="pt-BR"/>
        </w:rPr>
      </w:pPr>
      <w:r w:rsidRPr="00465C93">
        <w:rPr>
          <w:rFonts w:ascii="Verdana" w:eastAsia="Times New Roman" w:hAnsi="Verdana" w:cs="Arial"/>
          <w:color w:val="333333"/>
          <w:spacing w:val="15"/>
          <w:sz w:val="21"/>
          <w:szCs w:val="21"/>
          <w:lang w:eastAsia="pt-BR"/>
        </w:rPr>
        <w:t>Analista em Gestão Pública da Associação do Municípios do Ceará</w:t>
      </w:r>
    </w:p>
    <w:p w:rsidR="00465C93" w:rsidRPr="00465C93" w:rsidRDefault="00465C93" w:rsidP="00465C93">
      <w:pPr>
        <w:shd w:val="clear" w:color="auto" w:fill="FFFFFF"/>
        <w:spacing w:before="270" w:after="150" w:line="360" w:lineRule="atLeast"/>
        <w:ind w:left="720"/>
        <w:jc w:val="right"/>
        <w:rPr>
          <w:rFonts w:ascii="Arial" w:eastAsia="Times New Roman" w:hAnsi="Arial" w:cs="Arial"/>
          <w:color w:val="333333"/>
          <w:spacing w:val="15"/>
          <w:sz w:val="25"/>
          <w:szCs w:val="25"/>
          <w:lang w:eastAsia="pt-BR"/>
        </w:rPr>
      </w:pPr>
      <w:r w:rsidRPr="00465C93">
        <w:rPr>
          <w:rFonts w:ascii="Verdana" w:eastAsia="Times New Roman" w:hAnsi="Verdana" w:cs="Arial"/>
          <w:color w:val="333333"/>
          <w:spacing w:val="15"/>
          <w:sz w:val="21"/>
          <w:szCs w:val="21"/>
          <w:lang w:eastAsia="pt-BR"/>
        </w:rPr>
        <w:t>Consultor CONGEMAS</w:t>
      </w:r>
    </w:p>
    <w:p w:rsidR="00465C93" w:rsidRPr="00465C93" w:rsidRDefault="00465C93" w:rsidP="00465C93">
      <w:pPr>
        <w:shd w:val="clear" w:color="auto" w:fill="FFFFFF"/>
        <w:spacing w:after="150" w:line="360" w:lineRule="atLeast"/>
        <w:jc w:val="right"/>
        <w:rPr>
          <w:rFonts w:ascii="Arial" w:eastAsia="Times New Roman" w:hAnsi="Arial" w:cs="Arial"/>
          <w:color w:val="333333"/>
          <w:spacing w:val="15"/>
          <w:sz w:val="29"/>
          <w:szCs w:val="29"/>
          <w:lang w:eastAsia="pt-BR"/>
        </w:rPr>
      </w:pPr>
      <w:r w:rsidRPr="00465C93">
        <w:rPr>
          <w:rFonts w:ascii="Verdana" w:eastAsia="Times New Roman" w:hAnsi="Verdana" w:cs="Arial"/>
          <w:color w:val="333333"/>
          <w:spacing w:val="15"/>
          <w:sz w:val="21"/>
          <w:szCs w:val="21"/>
          <w:lang w:eastAsia="pt-BR"/>
        </w:rPr>
        <w:t>Elaboração da Nota Explicativa</w:t>
      </w:r>
    </w:p>
    <w:p w:rsidR="00465C93" w:rsidRPr="00465C93" w:rsidRDefault="00465C93" w:rsidP="00465C93">
      <w:pPr>
        <w:shd w:val="clear" w:color="auto" w:fill="FFFFFF"/>
        <w:spacing w:before="270" w:after="150" w:line="360" w:lineRule="atLeast"/>
        <w:jc w:val="both"/>
        <w:rPr>
          <w:rFonts w:ascii="Arial" w:eastAsia="Times New Roman" w:hAnsi="Arial" w:cs="Arial"/>
          <w:color w:val="333333"/>
          <w:spacing w:val="15"/>
          <w:sz w:val="29"/>
          <w:szCs w:val="29"/>
          <w:lang w:eastAsia="pt-BR"/>
        </w:rPr>
      </w:pPr>
      <w:r w:rsidRPr="00465C93">
        <w:rPr>
          <w:rFonts w:ascii="Arial" w:eastAsia="Times New Roman" w:hAnsi="Arial" w:cs="Arial"/>
          <w:color w:val="333333"/>
          <w:spacing w:val="15"/>
          <w:sz w:val="29"/>
          <w:szCs w:val="29"/>
          <w:lang w:eastAsia="pt-BR"/>
        </w:rPr>
        <w:t> </w:t>
      </w:r>
    </w:p>
    <w:p w:rsidR="00465C93" w:rsidRPr="00465C93" w:rsidRDefault="00465C93" w:rsidP="00465C93">
      <w:pPr>
        <w:shd w:val="clear" w:color="auto" w:fill="FFFFFF"/>
        <w:spacing w:before="270" w:after="150" w:line="360" w:lineRule="atLeast"/>
        <w:jc w:val="both"/>
        <w:rPr>
          <w:rFonts w:ascii="Arial" w:eastAsia="Times New Roman" w:hAnsi="Arial" w:cs="Arial"/>
          <w:color w:val="333333"/>
          <w:spacing w:val="15"/>
          <w:sz w:val="29"/>
          <w:szCs w:val="29"/>
          <w:lang w:eastAsia="pt-BR"/>
        </w:rPr>
      </w:pPr>
      <w:r w:rsidRPr="00465C93">
        <w:rPr>
          <w:rFonts w:ascii="Arial" w:eastAsia="Times New Roman" w:hAnsi="Arial" w:cs="Arial"/>
          <w:color w:val="333333"/>
          <w:spacing w:val="15"/>
          <w:sz w:val="29"/>
          <w:szCs w:val="29"/>
          <w:lang w:eastAsia="pt-BR"/>
        </w:rPr>
        <w:t> </w:t>
      </w:r>
    </w:p>
    <w:p w:rsidR="00465C93" w:rsidRPr="00465C93" w:rsidRDefault="00465C93" w:rsidP="00465C93">
      <w:pPr>
        <w:shd w:val="clear" w:color="auto" w:fill="FFFFFF"/>
        <w:spacing w:before="270" w:after="150" w:line="360" w:lineRule="atLeast"/>
        <w:jc w:val="both"/>
        <w:rPr>
          <w:rFonts w:ascii="Arial" w:eastAsia="Times New Roman" w:hAnsi="Arial" w:cs="Arial"/>
          <w:color w:val="333333"/>
          <w:spacing w:val="15"/>
          <w:sz w:val="29"/>
          <w:szCs w:val="29"/>
          <w:lang w:eastAsia="pt-BR"/>
        </w:rPr>
      </w:pPr>
      <w:r w:rsidRPr="00465C93">
        <w:rPr>
          <w:rFonts w:ascii="Verdana" w:eastAsia="Times New Roman" w:hAnsi="Verdana" w:cs="Arial"/>
          <w:b/>
          <w:bCs/>
          <w:color w:val="333333"/>
          <w:spacing w:val="15"/>
          <w:sz w:val="21"/>
          <w:szCs w:val="21"/>
          <w:lang w:eastAsia="pt-BR"/>
        </w:rPr>
        <w:t>REFERÊNCIAS:</w:t>
      </w:r>
    </w:p>
    <w:p w:rsidR="00465C93" w:rsidRPr="00465C93" w:rsidRDefault="00465C93" w:rsidP="00465C93">
      <w:pPr>
        <w:shd w:val="clear" w:color="auto" w:fill="FFFFFF"/>
        <w:spacing w:before="270" w:after="150" w:line="360" w:lineRule="atLeast"/>
        <w:jc w:val="both"/>
        <w:rPr>
          <w:rFonts w:ascii="Arial" w:eastAsia="Times New Roman" w:hAnsi="Arial" w:cs="Arial"/>
          <w:color w:val="333333"/>
          <w:spacing w:val="15"/>
          <w:sz w:val="29"/>
          <w:szCs w:val="29"/>
          <w:lang w:eastAsia="pt-BR"/>
        </w:rPr>
      </w:pPr>
      <w:r w:rsidRPr="00465C93">
        <w:rPr>
          <w:rFonts w:ascii="Verdana" w:eastAsia="Times New Roman" w:hAnsi="Verdana" w:cs="Arial"/>
          <w:color w:val="333333"/>
          <w:spacing w:val="15"/>
          <w:sz w:val="21"/>
          <w:szCs w:val="21"/>
          <w:lang w:eastAsia="pt-BR"/>
        </w:rPr>
        <w:t>BRASÍLIA, Caderno de Orientações Técnicas Sobre os Gastos no Pagamento dos Profissionais das Equipes de Referência do SUAS / Ministério do Desenvolvimento Social e Agrário, ISBN 978-85-60700-82-0 Organizador: Secretaria Nacional de Assistência Social - Ministério do Desenvolvimento Social e Agrário – 1ª ed. – Brasília: MDS, 2016, 88 p. :</w:t>
      </w:r>
    </w:p>
    <w:p w:rsidR="00465C93" w:rsidRPr="00465C93" w:rsidRDefault="00465C93" w:rsidP="00465C93">
      <w:pPr>
        <w:shd w:val="clear" w:color="auto" w:fill="FFFFFF"/>
        <w:spacing w:before="270" w:after="150" w:line="360" w:lineRule="atLeast"/>
        <w:jc w:val="both"/>
        <w:rPr>
          <w:rFonts w:ascii="Arial" w:eastAsia="Times New Roman" w:hAnsi="Arial" w:cs="Arial"/>
          <w:color w:val="333333"/>
          <w:spacing w:val="15"/>
          <w:sz w:val="29"/>
          <w:szCs w:val="29"/>
          <w:lang w:eastAsia="pt-BR"/>
        </w:rPr>
      </w:pPr>
      <w:r w:rsidRPr="00465C93">
        <w:rPr>
          <w:rFonts w:ascii="Verdana" w:eastAsia="Times New Roman" w:hAnsi="Verdana" w:cs="Arial"/>
          <w:color w:val="333333"/>
          <w:spacing w:val="15"/>
          <w:sz w:val="21"/>
          <w:szCs w:val="21"/>
          <w:lang w:eastAsia="pt-BR"/>
        </w:rPr>
        <w:t>BRASÍLIA, Caderno de Orientações sobre o Índice de Gestão Descentralizada do Sistema Único de Assistência Social – IGDSUAS/ Ministério do Desenvolvimento Social e Combate à Fome, Organizador: Secretaria Nacional de Assistência Social - Ministério do Desenvolvimento Social e combate à fome – 1ª ed. – Brasília: MDS, 2012, 48 p.:</w:t>
      </w:r>
    </w:p>
    <w:p w:rsidR="00465C93" w:rsidRPr="00465C93" w:rsidRDefault="00465C93" w:rsidP="00465C93">
      <w:pPr>
        <w:shd w:val="clear" w:color="auto" w:fill="FFFFFF"/>
        <w:spacing w:before="270" w:after="150" w:line="360" w:lineRule="atLeast"/>
        <w:jc w:val="both"/>
        <w:rPr>
          <w:rFonts w:ascii="Arial" w:eastAsia="Times New Roman" w:hAnsi="Arial" w:cs="Arial"/>
          <w:color w:val="333333"/>
          <w:spacing w:val="15"/>
          <w:sz w:val="29"/>
          <w:szCs w:val="29"/>
          <w:lang w:eastAsia="pt-BR"/>
        </w:rPr>
      </w:pPr>
      <w:r w:rsidRPr="00465C93">
        <w:rPr>
          <w:rFonts w:ascii="Verdana" w:eastAsia="Times New Roman" w:hAnsi="Verdana" w:cs="Arial"/>
          <w:color w:val="333333"/>
          <w:spacing w:val="15"/>
          <w:sz w:val="21"/>
          <w:szCs w:val="21"/>
          <w:lang w:eastAsia="pt-BR"/>
        </w:rPr>
        <w:t>BRASÍLIA, Manual do Índice de Gestão Descentralizada do Programa Bolsa Família e do Cadastro Único (Municípios e Distrito Federal) / Ministério do Desenvolvimento Social, Organizador: Secretaria Nacional de Renda de Cidadania- Ministério do Desenvolvimento Social – 1ª ed. – Brasília: MDS, 2018, 80 p.:</w:t>
      </w:r>
    </w:p>
    <w:p w:rsidR="00465C93" w:rsidRPr="00465C93" w:rsidRDefault="00465C93" w:rsidP="00465C93">
      <w:pPr>
        <w:shd w:val="clear" w:color="auto" w:fill="FFFFFF"/>
        <w:spacing w:before="270" w:after="150" w:line="360" w:lineRule="atLeast"/>
        <w:jc w:val="both"/>
        <w:rPr>
          <w:rFonts w:ascii="Arial" w:eastAsia="Times New Roman" w:hAnsi="Arial" w:cs="Arial"/>
          <w:color w:val="333333"/>
          <w:spacing w:val="15"/>
          <w:sz w:val="29"/>
          <w:szCs w:val="29"/>
          <w:lang w:eastAsia="pt-BR"/>
        </w:rPr>
      </w:pPr>
      <w:r w:rsidRPr="00465C93">
        <w:rPr>
          <w:rFonts w:ascii="Verdana" w:eastAsia="Times New Roman" w:hAnsi="Verdana" w:cs="Arial"/>
          <w:color w:val="333333"/>
          <w:spacing w:val="15"/>
          <w:sz w:val="21"/>
          <w:szCs w:val="21"/>
          <w:lang w:eastAsia="pt-BR"/>
        </w:rPr>
        <w:t>BRASIL, PORTARIA MC Nº 664, DE 2 DE SETEMBRO DE 2021, Consolida os atos normativos que regulamentam o Programa Criança Feliz/Primeira Infância no Sistema Único de Assistência Social - SUAS. Diário Oficial da República Federativa do Brasil. Brasília, DF, Órgão: Ministério da Cidadania/Gabinete do Ministro. Edição: 169 | Seção: 1 | Página: 2.</w:t>
      </w:r>
    </w:p>
    <w:p w:rsidR="00465C93" w:rsidRPr="00465C93" w:rsidRDefault="00465C93" w:rsidP="00465C93">
      <w:pPr>
        <w:shd w:val="clear" w:color="auto" w:fill="FFFFFF"/>
        <w:spacing w:before="270" w:after="150" w:line="360" w:lineRule="atLeast"/>
        <w:jc w:val="both"/>
        <w:rPr>
          <w:rFonts w:ascii="Arial" w:eastAsia="Times New Roman" w:hAnsi="Arial" w:cs="Arial"/>
          <w:color w:val="333333"/>
          <w:spacing w:val="15"/>
          <w:sz w:val="29"/>
          <w:szCs w:val="29"/>
          <w:lang w:eastAsia="pt-BR"/>
        </w:rPr>
      </w:pPr>
      <w:r w:rsidRPr="00465C93">
        <w:rPr>
          <w:rFonts w:ascii="Verdana" w:eastAsia="Times New Roman" w:hAnsi="Verdana" w:cs="Arial"/>
          <w:color w:val="333333"/>
          <w:spacing w:val="15"/>
          <w:sz w:val="21"/>
          <w:szCs w:val="21"/>
          <w:lang w:eastAsia="pt-BR"/>
        </w:rPr>
        <w:t>Brasil. Ministério do Desenvolvimento Social e Combate à Fome. Caderno de Gestão Financeira e Orçamentária do SUAS - Brasília, DF:</w:t>
      </w:r>
    </w:p>
    <w:p w:rsidR="00465C93" w:rsidRPr="00465C93" w:rsidRDefault="00465C93" w:rsidP="00465C93">
      <w:pPr>
        <w:shd w:val="clear" w:color="auto" w:fill="FFFFFF"/>
        <w:spacing w:before="270" w:after="150" w:line="360" w:lineRule="atLeast"/>
        <w:rPr>
          <w:rFonts w:ascii="Arial" w:eastAsia="Times New Roman" w:hAnsi="Arial" w:cs="Arial"/>
          <w:color w:val="333333"/>
          <w:spacing w:val="15"/>
          <w:sz w:val="29"/>
          <w:szCs w:val="29"/>
          <w:lang w:eastAsia="pt-BR"/>
        </w:rPr>
      </w:pPr>
      <w:r w:rsidRPr="00465C93">
        <w:rPr>
          <w:rFonts w:ascii="Verdana" w:eastAsia="Times New Roman" w:hAnsi="Verdana" w:cs="Arial"/>
          <w:color w:val="333333"/>
          <w:spacing w:val="15"/>
          <w:sz w:val="21"/>
          <w:szCs w:val="21"/>
          <w:lang w:eastAsia="pt-BR"/>
        </w:rPr>
        <w:t>MDS, Secretaria de Avaliação e Gestão da Informação; Secretaria Nacional de Assistência Social, 2013. 140 p. ; 30 cm.</w:t>
      </w:r>
    </w:p>
    <w:p w:rsidR="00465C93" w:rsidRPr="00465C93" w:rsidRDefault="00465C93" w:rsidP="00465C93">
      <w:pPr>
        <w:shd w:val="clear" w:color="auto" w:fill="FFFFFF"/>
        <w:spacing w:before="270" w:after="150" w:line="360" w:lineRule="atLeast"/>
        <w:rPr>
          <w:rFonts w:ascii="Arial" w:eastAsia="Times New Roman" w:hAnsi="Arial" w:cs="Arial"/>
          <w:color w:val="333333"/>
          <w:spacing w:val="15"/>
          <w:sz w:val="29"/>
          <w:szCs w:val="29"/>
          <w:lang w:eastAsia="pt-BR"/>
        </w:rPr>
      </w:pPr>
      <w:r w:rsidRPr="00465C93">
        <w:rPr>
          <w:rFonts w:ascii="Arial" w:eastAsia="Times New Roman" w:hAnsi="Arial" w:cs="Arial"/>
          <w:color w:val="333333"/>
          <w:spacing w:val="15"/>
          <w:sz w:val="29"/>
          <w:szCs w:val="29"/>
          <w:lang w:eastAsia="pt-BR"/>
        </w:rPr>
        <w:t> </w:t>
      </w:r>
    </w:p>
    <w:p w:rsidR="00F33451" w:rsidRDefault="00F33451"/>
    <w:sectPr w:rsidR="00F3345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D666BE"/>
    <w:multiLevelType w:val="multilevel"/>
    <w:tmpl w:val="8CB47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C93"/>
    <w:rsid w:val="00465C93"/>
    <w:rsid w:val="00E1702F"/>
    <w:rsid w:val="00F33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65C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465C93"/>
    <w:rPr>
      <w:b/>
      <w:bCs/>
    </w:rPr>
  </w:style>
  <w:style w:type="character" w:styleId="nfase">
    <w:name w:val="Emphasis"/>
    <w:basedOn w:val="Fontepargpadro"/>
    <w:uiPriority w:val="20"/>
    <w:qFormat/>
    <w:rsid w:val="00465C9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65C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465C93"/>
    <w:rPr>
      <w:b/>
      <w:bCs/>
    </w:rPr>
  </w:style>
  <w:style w:type="character" w:styleId="nfase">
    <w:name w:val="Emphasis"/>
    <w:basedOn w:val="Fontepargpadro"/>
    <w:uiPriority w:val="20"/>
    <w:qFormat/>
    <w:rsid w:val="00465C9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1590</Words>
  <Characters>8587</Characters>
  <Application>Microsoft Office Word</Application>
  <DocSecurity>0</DocSecurity>
  <Lines>71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.</cp:lastModifiedBy>
  <cp:revision>2</cp:revision>
  <dcterms:created xsi:type="dcterms:W3CDTF">2022-07-25T23:00:00Z</dcterms:created>
  <dcterms:modified xsi:type="dcterms:W3CDTF">2022-07-25T23:00:00Z</dcterms:modified>
</cp:coreProperties>
</file>